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7711CE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140589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4F9" w:rsidRPr="00E54C9F" w:rsidRDefault="000C44F9" w:rsidP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Avd. de Barcelona , 17</w:t>
                            </w:r>
                          </w:p>
                          <w:p w:rsidR="000C44F9" w:rsidRPr="00E54C9F" w:rsidRDefault="00D7694A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29009 Má</w:t>
                            </w:r>
                            <w:r w:rsidR="000C44F9" w:rsidRPr="00E54C9F">
                              <w:rPr>
                                <w:sz w:val="16"/>
                                <w:szCs w:val="16"/>
                              </w:rPr>
                              <w:t>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619262813</w:t>
                            </w:r>
                          </w:p>
                          <w:p w:rsidR="000C44F9" w:rsidRDefault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Estaño 109 , Pol . Ind. Sector 20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Default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950 225966 / 619262813 /657556785</w:t>
                            </w:r>
                          </w:p>
                          <w:p w:rsidR="003B124C" w:rsidRPr="00E54C9F" w:rsidRDefault="000C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ventas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10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    <v:textbox style="mso-fit-shape-to-text:t">
                  <w:txbxContent>
                    <w:p w:rsidR="000C44F9" w:rsidRPr="00E54C9F" w:rsidRDefault="000C44F9" w:rsidP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Avd. de Barcelona , 17</w:t>
                      </w:r>
                    </w:p>
                    <w:p w:rsidR="000C44F9" w:rsidRPr="00E54C9F" w:rsidRDefault="00D7694A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29009 Má</w:t>
                      </w:r>
                      <w:r w:rsidR="000C44F9" w:rsidRPr="00E54C9F">
                        <w:rPr>
                          <w:sz w:val="16"/>
                          <w:szCs w:val="16"/>
                        </w:rPr>
                        <w:t>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619262813</w:t>
                      </w:r>
                    </w:p>
                    <w:p w:rsidR="000C44F9" w:rsidRDefault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Estaño 109 , Pol . Ind. Sector 20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</w:p>
                    <w:p w:rsidR="003B124C" w:rsidRDefault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950 225966 / 619262813 /657556785</w:t>
                      </w:r>
                    </w:p>
                    <w:p w:rsidR="003B124C" w:rsidRPr="00E54C9F" w:rsidRDefault="000C44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ventas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7711CE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0" t="0" r="0" b="889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D3" w:rsidRDefault="001A06BF" w:rsidP="00B5456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COMUNIDAD </w:t>
                            </w:r>
                            <w:r w:rsidR="0059312E">
                              <w:rPr>
                                <w:b/>
                                <w:sz w:val="18"/>
                              </w:rPr>
                              <w:t>DE PROPIETARIOS EDIF. MAESTRO LECUONA, 5</w:t>
                            </w:r>
                          </w:p>
                          <w:p w:rsidR="00BE53C7" w:rsidRDefault="00BE53C7" w:rsidP="00B5456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B54564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2B2C4A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59312E">
                              <w:rPr>
                                <w:b/>
                                <w:sz w:val="18"/>
                              </w:rPr>
                              <w:t>/A: D. JOSÉ MANUEL FILPO</w:t>
                            </w:r>
                          </w:p>
                          <w:p w:rsidR="002B2C4A" w:rsidRPr="00E11199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NkVx4dH&#10;AgAAkAQAAA4AAAAAAAAAAAAAAAAALgIAAGRycy9lMm9Eb2MueG1sUEsBAi0AFAAGAAgAAAAhAMjA&#10;eXPfAAAACgEAAA8AAAAAAAAAAAAAAAAAoQQAAGRycy9kb3ducmV2LnhtbFBLBQYAAAAABAAEAPMA&#10;AACtBQAAAAA=&#10;" o:allowincell="f" strokecolor="black [3213]">
                <v:textbox>
                  <w:txbxContent>
                    <w:p w:rsidR="00F25FD3" w:rsidRDefault="001A06BF" w:rsidP="00B5456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COMUNIDAD </w:t>
                      </w:r>
                      <w:r w:rsidR="0059312E">
                        <w:rPr>
                          <w:b/>
                          <w:sz w:val="18"/>
                        </w:rPr>
                        <w:t>DE PROPIETARIOS EDIF. MAESTRO LECUONA, 5</w:t>
                      </w:r>
                    </w:p>
                    <w:p w:rsidR="00BE53C7" w:rsidRDefault="00BE53C7" w:rsidP="00B5456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B54564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2B2C4A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59312E">
                        <w:rPr>
                          <w:b/>
                          <w:sz w:val="18"/>
                        </w:rPr>
                        <w:t>/A: D. JOSÉ MANUEL FILPO</w:t>
                      </w:r>
                    </w:p>
                    <w:p w:rsidR="002B2C4A" w:rsidRPr="00E11199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9312E">
        <w:rPr>
          <w:rFonts w:ascii="Arial Narrow" w:hAnsi="Arial Narrow"/>
          <w:sz w:val="22"/>
          <w:lang w:val="es-ES_tradnl"/>
        </w:rPr>
        <w:t>, a 28 de Julio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DD34E5">
        <w:rPr>
          <w:rFonts w:ascii="Arial Narrow" w:hAnsi="Arial Narrow"/>
          <w:sz w:val="22"/>
          <w:lang w:val="es-ES_tradnl"/>
        </w:rPr>
        <w:t xml:space="preserve"> de 2021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7711CE" w:rsidP="009201CA">
      <w:pPr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-786765</wp:posOffset>
                </wp:positionV>
                <wp:extent cx="2234565" cy="1000125"/>
                <wp:effectExtent l="8890" t="13335" r="13970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56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12E" w:rsidRDefault="0059312E" w:rsidP="0059312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DE PROPIETARIOS EDIF. MAESTRO LECUONA, 5</w:t>
                            </w:r>
                          </w:p>
                          <w:p w:rsidR="0059312E" w:rsidRDefault="0059312E" w:rsidP="0059312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9312E" w:rsidRDefault="0059312E" w:rsidP="0059312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59312E" w:rsidRDefault="0059312E" w:rsidP="0059312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9312E" w:rsidRDefault="0059312E" w:rsidP="0059312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A/A: D. JOSÉ MANUEL FILPO</w:t>
                            </w:r>
                          </w:p>
                          <w:p w:rsidR="0059312E" w:rsidRDefault="005931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68.15pt;margin-top:-61.95pt;width:175.9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">
                <v:textbox>
                  <w:txbxContent>
                    <w:p w:rsidR="0059312E" w:rsidRDefault="0059312E" w:rsidP="0059312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COMUNIDAD DE PROPIETARIOS EDIF. MAESTRO LECUONA, 5</w:t>
                      </w:r>
                    </w:p>
                    <w:p w:rsidR="0059312E" w:rsidRDefault="0059312E" w:rsidP="0059312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59312E" w:rsidRDefault="0059312E" w:rsidP="0059312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59312E" w:rsidRDefault="0059312E" w:rsidP="0059312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59312E" w:rsidRDefault="0059312E" w:rsidP="0059312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A/A: D. JOSÉ MANUEL FILPO</w:t>
                      </w:r>
                    </w:p>
                    <w:p w:rsidR="0059312E" w:rsidRDefault="0059312E"/>
                  </w:txbxContent>
                </v:textbox>
              </v:rect>
            </w:pict>
          </mc:Fallback>
        </mc:AlternateConten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59312E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Málaga, a 28 de Julio</w:t>
      </w:r>
      <w:r w:rsidR="00717D86">
        <w:rPr>
          <w:i/>
          <w:lang w:val="es-ES_tradnl"/>
        </w:rPr>
        <w:t xml:space="preserve"> </w:t>
      </w:r>
      <w:r w:rsidR="009201CA">
        <w:rPr>
          <w:i/>
          <w:lang w:val="es-ES_tradnl"/>
        </w:rPr>
        <w:t xml:space="preserve"> de 2021</w:t>
      </w:r>
    </w:p>
    <w:p w:rsidR="009201CA" w:rsidRDefault="0059312E" w:rsidP="009201CA">
      <w:pPr>
        <w:pStyle w:val="Ttulo3"/>
      </w:pPr>
      <w:r>
        <w:t>PRESUPUESTO Nº.-MAJ2110</w:t>
      </w:r>
    </w:p>
    <w:p w:rsidR="009201CA" w:rsidRDefault="009201CA" w:rsidP="009201CA">
      <w:pPr>
        <w:pStyle w:val="Ttulo2"/>
      </w:pPr>
      <w:r>
        <w:t>PRESUPUESTO LIMPIEZA</w:t>
      </w:r>
    </w:p>
    <w:p w:rsidR="009201CA" w:rsidRDefault="009201CA" w:rsidP="009201CA">
      <w:pPr>
        <w:jc w:val="center"/>
        <w:rPr>
          <w:u w:val="single"/>
        </w:rPr>
      </w:pPr>
      <w:r>
        <w:rPr>
          <w:highlight w:val="cyan"/>
          <w:u w:val="single"/>
        </w:rPr>
        <w:t xml:space="preserve">DESCRIPCION DE ACTUACIÓN DE LIMPIEZA </w:t>
      </w:r>
      <w:r w:rsidR="0059312E">
        <w:rPr>
          <w:u w:val="single"/>
        </w:rPr>
        <w:t>OPCION 1</w:t>
      </w:r>
    </w:p>
    <w:p w:rsidR="009201CA" w:rsidRDefault="009201CA" w:rsidP="009201CA">
      <w:pPr>
        <w:rPr>
          <w:u w:val="single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sz w:val="16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DIARIA DE LUNES A VIERNES</w:t>
      </w:r>
      <w:r>
        <w:rPr>
          <w:b/>
          <w:i/>
          <w:sz w:val="22"/>
        </w:rPr>
        <w:t xml:space="preserve"> </w:t>
      </w:r>
      <w:r>
        <w:rPr>
          <w:sz w:val="16"/>
        </w:rPr>
        <w:t>:(excepto festivos)</w:t>
      </w:r>
    </w:p>
    <w:p w:rsidR="009201CA" w:rsidRDefault="009201CA" w:rsidP="009201CA">
      <w:r>
        <w:t>- Desempolvado de la puerta exterior, puertas comunitarias,  puntos de luz, portero automatico, etc.</w:t>
      </w:r>
    </w:p>
    <w:p w:rsidR="009201CA" w:rsidRDefault="009201CA" w:rsidP="009201CA">
      <w:r>
        <w:t>- Limpieza de huellas digitales en revestimientos del  portal,  cristales, espejos etc.</w:t>
      </w:r>
    </w:p>
    <w:p w:rsidR="009201CA" w:rsidRDefault="009201CA" w:rsidP="009201CA">
      <w:r>
        <w:t>- Limpieza de ascensores  incluidas ranuras de puertas correderas.</w:t>
      </w:r>
    </w:p>
    <w:p w:rsidR="009201CA" w:rsidRDefault="009201CA" w:rsidP="009201CA">
      <w:r>
        <w:t>- Retirada y reposicion de la bolsa de la papelera.</w:t>
      </w:r>
    </w:p>
    <w:p w:rsidR="00717D86" w:rsidRDefault="009201CA" w:rsidP="009201CA">
      <w:r>
        <w:t>- Barrido y fregado o mopa según necesidad  del suelo del portal.</w:t>
      </w:r>
    </w:p>
    <w:p w:rsidR="009201CA" w:rsidRDefault="009201CA" w:rsidP="009201CA">
      <w:pPr>
        <w:rPr>
          <w:u w:val="single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sz w:val="16"/>
        </w:rPr>
      </w:pPr>
      <w:r>
        <w:rPr>
          <w:b/>
          <w:i/>
          <w:sz w:val="22"/>
        </w:rPr>
        <w:t xml:space="preserve">LIMPIEZA UNA VEZ EN </w:t>
      </w:r>
      <w:r>
        <w:rPr>
          <w:b/>
          <w:i/>
          <w:sz w:val="22"/>
          <w:u w:val="single"/>
        </w:rPr>
        <w:t>SEMANA</w:t>
      </w:r>
    </w:p>
    <w:p w:rsidR="009201CA" w:rsidRDefault="009201CA" w:rsidP="009201CA">
      <w:r>
        <w:t>- Barrido y fregado</w:t>
      </w:r>
      <w:r w:rsidR="0059312E">
        <w:t xml:space="preserve"> o mopa según necesidad</w:t>
      </w:r>
      <w:r>
        <w:t xml:space="preserve"> de suelo de pasillos desde el acceso a azotea  hasta el portal.</w:t>
      </w:r>
    </w:p>
    <w:p w:rsidR="009201CA" w:rsidRDefault="009201CA" w:rsidP="009201CA">
      <w:r>
        <w:t>- Barrido y fregado  de escaleras desde el acceso a azotea hasta  el portal.</w:t>
      </w:r>
    </w:p>
    <w:p w:rsidR="009201CA" w:rsidRDefault="009201CA" w:rsidP="009201CA">
      <w:r>
        <w:t>- Desempolvado de barandas, rodapiés,  extintores. etc.</w:t>
      </w:r>
    </w:p>
    <w:p w:rsidR="009201CA" w:rsidRDefault="009201CA" w:rsidP="009201CA">
      <w:r>
        <w:t>- Desinfeccion de pulsadores de la luz, botoneria de ascensores, portero automatico  y pomos, etc.</w:t>
      </w:r>
    </w:p>
    <w:p w:rsidR="009201CA" w:rsidRDefault="009201CA" w:rsidP="009201CA"/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MENSUAL:</w:t>
      </w:r>
    </w:p>
    <w:p w:rsidR="009201CA" w:rsidRDefault="009201CA" w:rsidP="009201CA">
      <w:pPr>
        <w:rPr>
          <w:sz w:val="22"/>
        </w:rPr>
      </w:pPr>
      <w:r>
        <w:rPr>
          <w:i/>
          <w:sz w:val="22"/>
        </w:rPr>
        <w:t xml:space="preserve">- </w:t>
      </w:r>
      <w:r>
        <w:rPr>
          <w:sz w:val="22"/>
        </w:rPr>
        <w:t>Limpieza a fondo de la puerta exte</w:t>
      </w:r>
      <w:r w:rsidR="0059312E">
        <w:rPr>
          <w:sz w:val="22"/>
        </w:rPr>
        <w:t>rior y puertas de acceso a patios</w:t>
      </w:r>
      <w:r>
        <w:rPr>
          <w:sz w:val="22"/>
        </w:rPr>
        <w:t>.</w:t>
      </w:r>
    </w:p>
    <w:p w:rsidR="009201CA" w:rsidRDefault="009201CA" w:rsidP="009201CA">
      <w:pPr>
        <w:rPr>
          <w:sz w:val="22"/>
        </w:rPr>
      </w:pPr>
      <w:r>
        <w:t>- Limpieza a fondo de  revestimientos de  ascensor, ranuras de correderas  y puertas de ascensor  en planta</w:t>
      </w:r>
      <w:r>
        <w:rPr>
          <w:sz w:val="22"/>
        </w:rPr>
        <w:t>.</w:t>
      </w:r>
    </w:p>
    <w:p w:rsidR="009201CA" w:rsidRDefault="009201CA" w:rsidP="009201CA">
      <w:pPr>
        <w:rPr>
          <w:sz w:val="22"/>
        </w:rPr>
      </w:pPr>
      <w:r>
        <w:rPr>
          <w:sz w:val="22"/>
        </w:rPr>
        <w:t>- Limpieza de espejos.</w:t>
      </w: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BIMESTRAL:</w:t>
      </w:r>
    </w:p>
    <w:p w:rsidR="009201CA" w:rsidRDefault="009201CA" w:rsidP="009201CA">
      <w:r>
        <w:t>- Desinfección de espacios comunes contra Covid-19 mediante nebulización de producto recomendado por autoridades sanitarias (Limoseptic-plus ), hasta que acabe la pandemia.</w:t>
      </w:r>
    </w:p>
    <w:p w:rsidR="009201CA" w:rsidRDefault="009201CA" w:rsidP="009201CA">
      <w:r>
        <w:t>- Supervisión por parte de nuestro personal técnico del nivel de limpieza obtenido  y comprobación de  su grado de satisfacción.</w:t>
      </w:r>
    </w:p>
    <w:p w:rsidR="009201CA" w:rsidRDefault="0059312E" w:rsidP="009201CA">
      <w:r>
        <w:t>- Limpieza de ventanas por ambos lados y poyetes de las mismas.</w:t>
      </w:r>
    </w:p>
    <w:p w:rsidR="003E129E" w:rsidRDefault="003E129E" w:rsidP="009201CA">
      <w:r>
        <w:t>-Desempolvado de la fachada del portal.</w:t>
      </w:r>
    </w:p>
    <w:p w:rsidR="003E129E" w:rsidRDefault="003E129E" w:rsidP="009201CA">
      <w:r>
        <w:t>-Barrido y frega</w:t>
      </w:r>
      <w:r w:rsidR="00FB22A4">
        <w:t>do o baldeado del suelo del patio interior y azotea</w:t>
      </w: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SEMESTRAL:</w:t>
      </w:r>
    </w:p>
    <w:p w:rsidR="009201CA" w:rsidRDefault="009201CA" w:rsidP="009201CA">
      <w:r>
        <w:t>- Barrido de la suciedad más significativa en suelo de la</w:t>
      </w:r>
      <w:r w:rsidR="0059312E">
        <w:t>s</w:t>
      </w:r>
      <w:r>
        <w:t xml:space="preserve"> azotea</w:t>
      </w:r>
      <w:r w:rsidR="0059312E">
        <w:t>s, limpieza de sumideros y baldeado</w:t>
      </w:r>
    </w:p>
    <w:p w:rsidR="009201CA" w:rsidRDefault="009201CA" w:rsidP="009201CA">
      <w:r>
        <w:t>- Limpieza de cuartos técnicos (RTVI, agua, luz etc.)</w:t>
      </w:r>
    </w:p>
    <w:p w:rsidR="009201CA" w:rsidRDefault="009B73F3" w:rsidP="009201CA">
      <w:r>
        <w:t>- Abrillantado</w:t>
      </w:r>
      <w:r w:rsidR="009201CA">
        <w:t xml:space="preserve"> del suelo del portal con maquinaria industrial “rotativa”</w:t>
      </w: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ANUAL:</w:t>
      </w:r>
    </w:p>
    <w:p w:rsidR="0059312E" w:rsidRPr="0059312E" w:rsidRDefault="009B73F3" w:rsidP="009201CA">
      <w:pPr>
        <w:rPr>
          <w:sz w:val="22"/>
        </w:rPr>
      </w:pPr>
      <w:r>
        <w:rPr>
          <w:sz w:val="22"/>
        </w:rPr>
        <w:t>- Abrillantado</w:t>
      </w:r>
      <w:r w:rsidR="0059312E">
        <w:rPr>
          <w:sz w:val="22"/>
        </w:rPr>
        <w:t xml:space="preserve"> del suelo de los pasillos con maquinaria industrial rotativa.</w:t>
      </w:r>
    </w:p>
    <w:p w:rsidR="009201CA" w:rsidRDefault="009201CA" w:rsidP="009201CA">
      <w:r>
        <w:t>- Desempolvado de las paredes de los rellanos y escaleras del edificio.</w:t>
      </w:r>
      <w:r>
        <w:rPr>
          <w:b/>
          <w:sz w:val="24"/>
          <w:szCs w:val="24"/>
        </w:rPr>
        <w:t xml:space="preserve">                        </w:t>
      </w:r>
    </w:p>
    <w:p w:rsidR="009201CA" w:rsidRDefault="009201CA" w:rsidP="009201CA">
      <w:pPr>
        <w:pStyle w:val="Textocomentario"/>
        <w:tabs>
          <w:tab w:val="right" w:leader="dot" w:pos="8504"/>
        </w:tabs>
        <w:rPr>
          <w:b/>
        </w:rPr>
      </w:pPr>
    </w:p>
    <w:p w:rsidR="009201CA" w:rsidRDefault="003E129E" w:rsidP="009201CA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MENSUAL.</w:t>
      </w:r>
      <w:r>
        <w:rPr>
          <w:b/>
        </w:rPr>
        <w:tab/>
        <w:t>166.50</w:t>
      </w:r>
      <w:r w:rsidR="009201CA">
        <w:rPr>
          <w:b/>
        </w:rPr>
        <w:t xml:space="preserve"> €</w:t>
      </w:r>
    </w:p>
    <w:p w:rsidR="009201CA" w:rsidRDefault="009201CA" w:rsidP="009201C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9201CA" w:rsidRDefault="009201CA" w:rsidP="009201CA">
      <w:pPr>
        <w:ind w:right="4393"/>
        <w:rPr>
          <w:lang w:val="es-ES_tradnl"/>
        </w:rPr>
      </w:pPr>
      <w:r>
        <w:rPr>
          <w:lang w:val="es-ES_tradnl"/>
        </w:rPr>
        <w:t xml:space="preserve">       </w:t>
      </w:r>
    </w:p>
    <w:p w:rsidR="009201CA" w:rsidRDefault="009201CA" w:rsidP="009201CA">
      <w:pPr>
        <w:ind w:right="4393"/>
        <w:rPr>
          <w:u w:val="single"/>
        </w:rPr>
      </w:pPr>
      <w:r>
        <w:rPr>
          <w:lang w:val="es-ES_tradnl"/>
        </w:rPr>
        <w:t xml:space="preserve">         </w:t>
      </w:r>
    </w:p>
    <w:p w:rsidR="009201CA" w:rsidRDefault="009201CA" w:rsidP="009201CA">
      <w:pPr>
        <w:jc w:val="both"/>
        <w:rPr>
          <w:i/>
          <w:sz w:val="18"/>
        </w:rPr>
      </w:pPr>
      <w:r>
        <w:rPr>
          <w:i/>
          <w:sz w:val="18"/>
        </w:rPr>
        <w:t>.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NOTA: </w:t>
      </w:r>
      <w:r w:rsidR="009B73F3">
        <w:rPr>
          <w:b/>
          <w:i/>
          <w:sz w:val="18"/>
        </w:rPr>
        <w:t>ABRILLANTADO</w:t>
      </w:r>
      <w:r>
        <w:rPr>
          <w:b/>
          <w:i/>
          <w:sz w:val="18"/>
        </w:rPr>
        <w:t xml:space="preserve"> GRATUITO DURANTE LA VIGENCIA DEL CONTRATO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E6088C" w:rsidRPr="000764B5" w:rsidRDefault="00E6088C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sectPr w:rsidR="00E6088C" w:rsidRPr="000764B5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6B" w:rsidRDefault="006A5F6B">
      <w:r>
        <w:separator/>
      </w:r>
    </w:p>
  </w:endnote>
  <w:endnote w:type="continuationSeparator" w:id="0">
    <w:p w:rsidR="006A5F6B" w:rsidRDefault="006A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6B" w:rsidRDefault="006A5F6B">
      <w:r>
        <w:separator/>
      </w:r>
    </w:p>
  </w:footnote>
  <w:footnote w:type="continuationSeparator" w:id="0">
    <w:p w:rsidR="006A5F6B" w:rsidRDefault="006A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31A7"/>
    <w:rsid w:val="0006641E"/>
    <w:rsid w:val="000764B5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E1C"/>
    <w:rsid w:val="001E77D4"/>
    <w:rsid w:val="001E7FCC"/>
    <w:rsid w:val="001F62D8"/>
    <w:rsid w:val="00212664"/>
    <w:rsid w:val="0021685D"/>
    <w:rsid w:val="002262F4"/>
    <w:rsid w:val="002530B2"/>
    <w:rsid w:val="00260DCB"/>
    <w:rsid w:val="00261271"/>
    <w:rsid w:val="00265A1F"/>
    <w:rsid w:val="00274EA3"/>
    <w:rsid w:val="002779FB"/>
    <w:rsid w:val="00291923"/>
    <w:rsid w:val="002923FC"/>
    <w:rsid w:val="002A43B7"/>
    <w:rsid w:val="002B2C4A"/>
    <w:rsid w:val="002B63DC"/>
    <w:rsid w:val="002C53A0"/>
    <w:rsid w:val="002D2356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46091"/>
    <w:rsid w:val="004528D7"/>
    <w:rsid w:val="00461038"/>
    <w:rsid w:val="004628D6"/>
    <w:rsid w:val="00466BC2"/>
    <w:rsid w:val="00480BF9"/>
    <w:rsid w:val="0048600F"/>
    <w:rsid w:val="004878A2"/>
    <w:rsid w:val="004974CF"/>
    <w:rsid w:val="004979FD"/>
    <w:rsid w:val="004A1E0C"/>
    <w:rsid w:val="004A3367"/>
    <w:rsid w:val="004A4709"/>
    <w:rsid w:val="004C0C4D"/>
    <w:rsid w:val="004D472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9086C"/>
    <w:rsid w:val="0059312E"/>
    <w:rsid w:val="005A1E09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60CED"/>
    <w:rsid w:val="006802BC"/>
    <w:rsid w:val="00683F60"/>
    <w:rsid w:val="006910ED"/>
    <w:rsid w:val="006915DD"/>
    <w:rsid w:val="006A0722"/>
    <w:rsid w:val="006A328A"/>
    <w:rsid w:val="006A5F6B"/>
    <w:rsid w:val="006B27CE"/>
    <w:rsid w:val="006B6DB3"/>
    <w:rsid w:val="006C28E8"/>
    <w:rsid w:val="006C34BD"/>
    <w:rsid w:val="006C69EB"/>
    <w:rsid w:val="006E1477"/>
    <w:rsid w:val="006E7204"/>
    <w:rsid w:val="007119BA"/>
    <w:rsid w:val="00717D86"/>
    <w:rsid w:val="00727CF6"/>
    <w:rsid w:val="00727F86"/>
    <w:rsid w:val="0073106B"/>
    <w:rsid w:val="007539C8"/>
    <w:rsid w:val="00755C77"/>
    <w:rsid w:val="007711CE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44B1"/>
    <w:rsid w:val="007F473E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68CC"/>
    <w:rsid w:val="009B16AE"/>
    <w:rsid w:val="009B73F3"/>
    <w:rsid w:val="009C1382"/>
    <w:rsid w:val="009C3A9C"/>
    <w:rsid w:val="009D297D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69C"/>
    <w:rsid w:val="00AB2D17"/>
    <w:rsid w:val="00AB782D"/>
    <w:rsid w:val="00AC6915"/>
    <w:rsid w:val="00AE5AB9"/>
    <w:rsid w:val="00AF1C41"/>
    <w:rsid w:val="00B011DD"/>
    <w:rsid w:val="00B05783"/>
    <w:rsid w:val="00B20E33"/>
    <w:rsid w:val="00B23880"/>
    <w:rsid w:val="00B307BF"/>
    <w:rsid w:val="00B3727B"/>
    <w:rsid w:val="00B54564"/>
    <w:rsid w:val="00B571DB"/>
    <w:rsid w:val="00B576A8"/>
    <w:rsid w:val="00B6122A"/>
    <w:rsid w:val="00B66DCF"/>
    <w:rsid w:val="00BA5B5F"/>
    <w:rsid w:val="00BB009A"/>
    <w:rsid w:val="00BB5D9C"/>
    <w:rsid w:val="00BD0C18"/>
    <w:rsid w:val="00BD11F5"/>
    <w:rsid w:val="00BD597F"/>
    <w:rsid w:val="00BD7E59"/>
    <w:rsid w:val="00BE1F6A"/>
    <w:rsid w:val="00BE4B10"/>
    <w:rsid w:val="00BE53C7"/>
    <w:rsid w:val="00BE6B5F"/>
    <w:rsid w:val="00BF6029"/>
    <w:rsid w:val="00BF64A4"/>
    <w:rsid w:val="00C02077"/>
    <w:rsid w:val="00C04131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B7D20"/>
    <w:rsid w:val="00CC388E"/>
    <w:rsid w:val="00CD28FC"/>
    <w:rsid w:val="00CE0AD8"/>
    <w:rsid w:val="00CE358C"/>
    <w:rsid w:val="00CE5590"/>
    <w:rsid w:val="00CF1017"/>
    <w:rsid w:val="00D04A3C"/>
    <w:rsid w:val="00D26729"/>
    <w:rsid w:val="00D30421"/>
    <w:rsid w:val="00D31F43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36EA2"/>
    <w:rsid w:val="00E463C1"/>
    <w:rsid w:val="00E524DF"/>
    <w:rsid w:val="00E54C9F"/>
    <w:rsid w:val="00E54F4E"/>
    <w:rsid w:val="00E6088C"/>
    <w:rsid w:val="00E6266B"/>
    <w:rsid w:val="00E70C47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B22A4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5:docId w15:val="{E81879EC-3AE9-4F8A-A6B4-675C6ECC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3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2021-07-27T23:32:00Z</cp:lastPrinted>
  <dcterms:created xsi:type="dcterms:W3CDTF">2022-11-30T15:27:00Z</dcterms:created>
  <dcterms:modified xsi:type="dcterms:W3CDTF">2022-11-30T15:27:00Z</dcterms:modified>
</cp:coreProperties>
</file>